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1340"/>
        <w:gridCol w:w="1340"/>
        <w:gridCol w:w="1340"/>
        <w:gridCol w:w="363"/>
        <w:gridCol w:w="707"/>
        <w:gridCol w:w="356"/>
        <w:gridCol w:w="553"/>
        <w:gridCol w:w="798"/>
        <w:gridCol w:w="1719"/>
      </w:tblGrid>
      <w:tr w:rsidR="00D92383" w:rsidRPr="00D92383" w:rsidTr="00405405">
        <w:tc>
          <w:tcPr>
            <w:tcW w:w="1339" w:type="dxa"/>
          </w:tcPr>
          <w:p w:rsidR="00D92383" w:rsidRPr="00D92383" w:rsidRDefault="00D92383" w:rsidP="00D92383">
            <w:pPr>
              <w:spacing w:line="276" w:lineRule="auto"/>
              <w:jc w:val="center"/>
              <w:rPr>
                <w:rFonts w:ascii="Times New Roman" w:hAnsi="Times New Roman" w:cs="Times New Roman"/>
                <w:b/>
                <w:sz w:val="28"/>
                <w:szCs w:val="28"/>
                <w:lang w:val="uk-UA"/>
              </w:rPr>
            </w:pPr>
          </w:p>
        </w:tc>
        <w:tc>
          <w:tcPr>
            <w:tcW w:w="1340" w:type="dxa"/>
          </w:tcPr>
          <w:p w:rsidR="00D92383" w:rsidRPr="00D92383" w:rsidRDefault="00D92383" w:rsidP="00D92383">
            <w:pPr>
              <w:spacing w:line="276" w:lineRule="auto"/>
              <w:jc w:val="center"/>
              <w:rPr>
                <w:rFonts w:ascii="Times New Roman" w:hAnsi="Times New Roman" w:cs="Times New Roman"/>
                <w:b/>
                <w:sz w:val="28"/>
                <w:szCs w:val="28"/>
                <w:lang w:val="uk-UA"/>
              </w:rPr>
            </w:pPr>
          </w:p>
        </w:tc>
        <w:tc>
          <w:tcPr>
            <w:tcW w:w="1340" w:type="dxa"/>
          </w:tcPr>
          <w:p w:rsidR="00D92383" w:rsidRPr="00D92383" w:rsidRDefault="00D92383" w:rsidP="00D92383">
            <w:pPr>
              <w:spacing w:line="276" w:lineRule="auto"/>
              <w:jc w:val="center"/>
              <w:rPr>
                <w:rFonts w:ascii="Times New Roman" w:hAnsi="Times New Roman" w:cs="Times New Roman"/>
                <w:b/>
                <w:sz w:val="28"/>
                <w:szCs w:val="28"/>
                <w:lang w:val="uk-UA"/>
              </w:rPr>
            </w:pPr>
          </w:p>
        </w:tc>
        <w:tc>
          <w:tcPr>
            <w:tcW w:w="1340" w:type="dxa"/>
          </w:tcPr>
          <w:p w:rsidR="00D92383" w:rsidRPr="00D92383" w:rsidRDefault="00D92383" w:rsidP="00D92383">
            <w:pPr>
              <w:spacing w:line="276" w:lineRule="auto"/>
              <w:jc w:val="center"/>
              <w:rPr>
                <w:rFonts w:ascii="Times New Roman" w:hAnsi="Times New Roman" w:cs="Times New Roman"/>
                <w:b/>
                <w:sz w:val="28"/>
                <w:szCs w:val="28"/>
                <w:lang w:val="uk-UA"/>
              </w:rPr>
            </w:pPr>
          </w:p>
        </w:tc>
        <w:tc>
          <w:tcPr>
            <w:tcW w:w="4496" w:type="dxa"/>
            <w:gridSpan w:val="6"/>
          </w:tcPr>
          <w:p w:rsidR="00D92383" w:rsidRPr="00D92383" w:rsidRDefault="00D92383" w:rsidP="00D92383">
            <w:pPr>
              <w:spacing w:line="276" w:lineRule="auto"/>
              <w:jc w:val="center"/>
              <w:rPr>
                <w:rFonts w:ascii="Times New Roman" w:hAnsi="Times New Roman" w:cs="Times New Roman"/>
                <w:b/>
                <w:sz w:val="28"/>
                <w:szCs w:val="28"/>
                <w:lang w:val="uk-UA"/>
              </w:rPr>
            </w:pPr>
            <w:r w:rsidRPr="00D92383">
              <w:rPr>
                <w:rFonts w:ascii="Times New Roman" w:hAnsi="Times New Roman" w:cs="Times New Roman"/>
                <w:b/>
                <w:sz w:val="28"/>
                <w:szCs w:val="28"/>
                <w:lang w:val="uk-UA"/>
              </w:rPr>
              <w:t>ЗАТВЕРДЖУЮ</w:t>
            </w:r>
          </w:p>
        </w:tc>
      </w:tr>
      <w:tr w:rsidR="00D92383" w:rsidRPr="00D92383" w:rsidTr="00405405">
        <w:tc>
          <w:tcPr>
            <w:tcW w:w="1339" w:type="dxa"/>
          </w:tcPr>
          <w:p w:rsidR="00D92383" w:rsidRPr="00D92383" w:rsidRDefault="00D92383" w:rsidP="00D92383">
            <w:pPr>
              <w:spacing w:line="276" w:lineRule="auto"/>
              <w:jc w:val="center"/>
              <w:rPr>
                <w:rFonts w:ascii="Times New Roman" w:hAnsi="Times New Roman" w:cs="Times New Roman"/>
                <w:b/>
                <w:sz w:val="16"/>
                <w:szCs w:val="16"/>
                <w:lang w:val="uk-UA"/>
              </w:rPr>
            </w:pPr>
          </w:p>
        </w:tc>
        <w:tc>
          <w:tcPr>
            <w:tcW w:w="1340" w:type="dxa"/>
          </w:tcPr>
          <w:p w:rsidR="00D92383" w:rsidRPr="00D92383" w:rsidRDefault="00D92383" w:rsidP="00D92383">
            <w:pPr>
              <w:spacing w:line="276" w:lineRule="auto"/>
              <w:jc w:val="center"/>
              <w:rPr>
                <w:rFonts w:ascii="Times New Roman" w:hAnsi="Times New Roman" w:cs="Times New Roman"/>
                <w:b/>
                <w:sz w:val="16"/>
                <w:szCs w:val="16"/>
                <w:lang w:val="uk-UA"/>
              </w:rPr>
            </w:pPr>
          </w:p>
        </w:tc>
        <w:tc>
          <w:tcPr>
            <w:tcW w:w="1340" w:type="dxa"/>
          </w:tcPr>
          <w:p w:rsidR="00D92383" w:rsidRPr="00D92383" w:rsidRDefault="00D92383" w:rsidP="00D92383">
            <w:pPr>
              <w:spacing w:line="276" w:lineRule="auto"/>
              <w:jc w:val="center"/>
              <w:rPr>
                <w:rFonts w:ascii="Times New Roman" w:hAnsi="Times New Roman" w:cs="Times New Roman"/>
                <w:b/>
                <w:sz w:val="16"/>
                <w:szCs w:val="16"/>
                <w:lang w:val="uk-UA"/>
              </w:rPr>
            </w:pPr>
          </w:p>
        </w:tc>
        <w:tc>
          <w:tcPr>
            <w:tcW w:w="1340" w:type="dxa"/>
          </w:tcPr>
          <w:p w:rsidR="00D92383" w:rsidRPr="00D92383" w:rsidRDefault="00D92383" w:rsidP="00D92383">
            <w:pPr>
              <w:spacing w:line="276" w:lineRule="auto"/>
              <w:jc w:val="center"/>
              <w:rPr>
                <w:rFonts w:ascii="Times New Roman" w:hAnsi="Times New Roman" w:cs="Times New Roman"/>
                <w:b/>
                <w:sz w:val="16"/>
                <w:szCs w:val="16"/>
                <w:lang w:val="uk-UA"/>
              </w:rPr>
            </w:pPr>
          </w:p>
        </w:tc>
        <w:tc>
          <w:tcPr>
            <w:tcW w:w="4496" w:type="dxa"/>
            <w:gridSpan w:val="6"/>
          </w:tcPr>
          <w:p w:rsidR="00D92383" w:rsidRPr="00D92383" w:rsidRDefault="00D92383" w:rsidP="00D92383">
            <w:pPr>
              <w:spacing w:line="276" w:lineRule="auto"/>
              <w:jc w:val="center"/>
              <w:rPr>
                <w:rFonts w:ascii="Times New Roman" w:hAnsi="Times New Roman" w:cs="Times New Roman"/>
                <w:b/>
                <w:sz w:val="16"/>
                <w:szCs w:val="16"/>
                <w:lang w:val="uk-UA"/>
              </w:rPr>
            </w:pPr>
          </w:p>
        </w:tc>
      </w:tr>
      <w:tr w:rsidR="00D92383" w:rsidRPr="00D92383" w:rsidTr="00405405">
        <w:tc>
          <w:tcPr>
            <w:tcW w:w="1339" w:type="dxa"/>
          </w:tcPr>
          <w:p w:rsidR="00D92383" w:rsidRPr="00D92383" w:rsidRDefault="00D92383" w:rsidP="00D92383">
            <w:pPr>
              <w:spacing w:line="276" w:lineRule="auto"/>
              <w:jc w:val="center"/>
              <w:rPr>
                <w:rFonts w:ascii="Times New Roman" w:hAnsi="Times New Roman" w:cs="Times New Roman"/>
                <w:b/>
                <w:sz w:val="28"/>
                <w:szCs w:val="28"/>
                <w:lang w:val="uk-UA"/>
              </w:rPr>
            </w:pPr>
          </w:p>
        </w:tc>
        <w:tc>
          <w:tcPr>
            <w:tcW w:w="1340" w:type="dxa"/>
          </w:tcPr>
          <w:p w:rsidR="00D92383" w:rsidRPr="00D92383" w:rsidRDefault="00D92383" w:rsidP="00D92383">
            <w:pPr>
              <w:spacing w:line="276" w:lineRule="auto"/>
              <w:jc w:val="center"/>
              <w:rPr>
                <w:rFonts w:ascii="Times New Roman" w:hAnsi="Times New Roman" w:cs="Times New Roman"/>
                <w:b/>
                <w:sz w:val="28"/>
                <w:szCs w:val="28"/>
                <w:lang w:val="uk-UA"/>
              </w:rPr>
            </w:pPr>
          </w:p>
        </w:tc>
        <w:tc>
          <w:tcPr>
            <w:tcW w:w="1340" w:type="dxa"/>
          </w:tcPr>
          <w:p w:rsidR="00D92383" w:rsidRPr="00D92383" w:rsidRDefault="00D92383" w:rsidP="00D92383">
            <w:pPr>
              <w:spacing w:line="276" w:lineRule="auto"/>
              <w:jc w:val="center"/>
              <w:rPr>
                <w:rFonts w:ascii="Times New Roman" w:hAnsi="Times New Roman" w:cs="Times New Roman"/>
                <w:b/>
                <w:sz w:val="28"/>
                <w:szCs w:val="28"/>
                <w:lang w:val="uk-UA"/>
              </w:rPr>
            </w:pPr>
          </w:p>
        </w:tc>
        <w:tc>
          <w:tcPr>
            <w:tcW w:w="1340" w:type="dxa"/>
          </w:tcPr>
          <w:p w:rsidR="00D92383" w:rsidRPr="00D92383" w:rsidRDefault="00D92383" w:rsidP="00D92383">
            <w:pPr>
              <w:spacing w:line="276" w:lineRule="auto"/>
              <w:jc w:val="center"/>
              <w:rPr>
                <w:rFonts w:ascii="Times New Roman" w:hAnsi="Times New Roman" w:cs="Times New Roman"/>
                <w:b/>
                <w:sz w:val="28"/>
                <w:szCs w:val="28"/>
                <w:lang w:val="uk-UA"/>
              </w:rPr>
            </w:pPr>
          </w:p>
        </w:tc>
        <w:tc>
          <w:tcPr>
            <w:tcW w:w="4496" w:type="dxa"/>
            <w:gridSpan w:val="6"/>
          </w:tcPr>
          <w:p w:rsidR="00D92383" w:rsidRPr="00D92383" w:rsidRDefault="00D92383" w:rsidP="00D92383">
            <w:pPr>
              <w:spacing w:line="276" w:lineRule="auto"/>
              <w:jc w:val="center"/>
              <w:rPr>
                <w:rFonts w:ascii="Times New Roman" w:hAnsi="Times New Roman" w:cs="Times New Roman"/>
                <w:b/>
                <w:sz w:val="28"/>
                <w:szCs w:val="28"/>
                <w:lang w:val="uk-UA"/>
              </w:rPr>
            </w:pPr>
            <w:r w:rsidRPr="00D92383">
              <w:rPr>
                <w:rFonts w:ascii="Times New Roman" w:hAnsi="Times New Roman" w:cs="Times New Roman"/>
                <w:b/>
                <w:sz w:val="28"/>
                <w:szCs w:val="28"/>
                <w:lang w:val="uk-UA"/>
              </w:rPr>
              <w:t>Міський голова</w:t>
            </w:r>
          </w:p>
        </w:tc>
      </w:tr>
      <w:tr w:rsidR="00D92383" w:rsidRPr="00D92383" w:rsidTr="00405405">
        <w:tc>
          <w:tcPr>
            <w:tcW w:w="1339" w:type="dxa"/>
          </w:tcPr>
          <w:p w:rsidR="00D92383" w:rsidRPr="00D92383" w:rsidRDefault="00D92383" w:rsidP="00D92383">
            <w:pPr>
              <w:spacing w:line="276" w:lineRule="auto"/>
              <w:jc w:val="center"/>
              <w:rPr>
                <w:rFonts w:ascii="Times New Roman" w:hAnsi="Times New Roman" w:cs="Times New Roman"/>
                <w:b/>
                <w:sz w:val="28"/>
                <w:szCs w:val="28"/>
                <w:lang w:val="uk-UA"/>
              </w:rPr>
            </w:pPr>
          </w:p>
        </w:tc>
        <w:tc>
          <w:tcPr>
            <w:tcW w:w="1340" w:type="dxa"/>
          </w:tcPr>
          <w:p w:rsidR="00D92383" w:rsidRPr="00D92383" w:rsidRDefault="00D92383" w:rsidP="00D92383">
            <w:pPr>
              <w:spacing w:line="276" w:lineRule="auto"/>
              <w:jc w:val="center"/>
              <w:rPr>
                <w:rFonts w:ascii="Times New Roman" w:hAnsi="Times New Roman" w:cs="Times New Roman"/>
                <w:b/>
                <w:sz w:val="28"/>
                <w:szCs w:val="28"/>
                <w:lang w:val="uk-UA"/>
              </w:rPr>
            </w:pPr>
          </w:p>
        </w:tc>
        <w:tc>
          <w:tcPr>
            <w:tcW w:w="1340" w:type="dxa"/>
          </w:tcPr>
          <w:p w:rsidR="00D92383" w:rsidRPr="00D92383" w:rsidRDefault="00D92383" w:rsidP="00D92383">
            <w:pPr>
              <w:spacing w:line="276" w:lineRule="auto"/>
              <w:jc w:val="center"/>
              <w:rPr>
                <w:rFonts w:ascii="Times New Roman" w:hAnsi="Times New Roman" w:cs="Times New Roman"/>
                <w:b/>
                <w:sz w:val="28"/>
                <w:szCs w:val="28"/>
                <w:lang w:val="uk-UA"/>
              </w:rPr>
            </w:pPr>
          </w:p>
        </w:tc>
        <w:tc>
          <w:tcPr>
            <w:tcW w:w="1340" w:type="dxa"/>
          </w:tcPr>
          <w:p w:rsidR="00D92383" w:rsidRPr="00D92383" w:rsidRDefault="00D92383" w:rsidP="00D92383">
            <w:pPr>
              <w:spacing w:line="276" w:lineRule="auto"/>
              <w:jc w:val="center"/>
              <w:rPr>
                <w:rFonts w:ascii="Times New Roman" w:hAnsi="Times New Roman" w:cs="Times New Roman"/>
                <w:b/>
                <w:sz w:val="28"/>
                <w:szCs w:val="28"/>
                <w:lang w:val="uk-UA"/>
              </w:rPr>
            </w:pPr>
          </w:p>
        </w:tc>
        <w:tc>
          <w:tcPr>
            <w:tcW w:w="1979" w:type="dxa"/>
            <w:gridSpan w:val="4"/>
          </w:tcPr>
          <w:p w:rsidR="00D92383" w:rsidRPr="00D92383" w:rsidRDefault="00D92383" w:rsidP="00D92383">
            <w:pPr>
              <w:spacing w:line="276" w:lineRule="auto"/>
              <w:jc w:val="center"/>
              <w:rPr>
                <w:rFonts w:ascii="Times New Roman" w:hAnsi="Times New Roman" w:cs="Times New Roman"/>
                <w:b/>
                <w:sz w:val="28"/>
                <w:szCs w:val="28"/>
                <w:lang w:val="uk-UA"/>
              </w:rPr>
            </w:pPr>
          </w:p>
        </w:tc>
        <w:tc>
          <w:tcPr>
            <w:tcW w:w="2517" w:type="dxa"/>
            <w:gridSpan w:val="2"/>
          </w:tcPr>
          <w:p w:rsidR="00D92383" w:rsidRPr="00D92383" w:rsidRDefault="00D92383" w:rsidP="00D92383">
            <w:pPr>
              <w:spacing w:line="276" w:lineRule="auto"/>
              <w:jc w:val="center"/>
              <w:rPr>
                <w:rFonts w:ascii="Times New Roman" w:hAnsi="Times New Roman" w:cs="Times New Roman"/>
                <w:b/>
                <w:sz w:val="28"/>
                <w:szCs w:val="28"/>
                <w:lang w:val="uk-UA"/>
              </w:rPr>
            </w:pPr>
          </w:p>
        </w:tc>
      </w:tr>
      <w:tr w:rsidR="00D92383" w:rsidRPr="00D92383" w:rsidTr="00405405">
        <w:tc>
          <w:tcPr>
            <w:tcW w:w="1339" w:type="dxa"/>
          </w:tcPr>
          <w:p w:rsidR="00D92383" w:rsidRPr="00D92383" w:rsidRDefault="00D92383" w:rsidP="00D92383">
            <w:pPr>
              <w:spacing w:line="276" w:lineRule="auto"/>
              <w:jc w:val="center"/>
              <w:rPr>
                <w:rFonts w:ascii="Times New Roman" w:hAnsi="Times New Roman" w:cs="Times New Roman"/>
                <w:b/>
                <w:sz w:val="28"/>
                <w:szCs w:val="28"/>
                <w:lang w:val="uk-UA"/>
              </w:rPr>
            </w:pPr>
          </w:p>
        </w:tc>
        <w:tc>
          <w:tcPr>
            <w:tcW w:w="1340" w:type="dxa"/>
          </w:tcPr>
          <w:p w:rsidR="00D92383" w:rsidRPr="00D92383" w:rsidRDefault="00D92383" w:rsidP="00D92383">
            <w:pPr>
              <w:spacing w:line="276" w:lineRule="auto"/>
              <w:jc w:val="center"/>
              <w:rPr>
                <w:rFonts w:ascii="Times New Roman" w:hAnsi="Times New Roman" w:cs="Times New Roman"/>
                <w:b/>
                <w:sz w:val="28"/>
                <w:szCs w:val="28"/>
                <w:lang w:val="uk-UA"/>
              </w:rPr>
            </w:pPr>
          </w:p>
        </w:tc>
        <w:tc>
          <w:tcPr>
            <w:tcW w:w="1340" w:type="dxa"/>
          </w:tcPr>
          <w:p w:rsidR="00D92383" w:rsidRPr="00D92383" w:rsidRDefault="00D92383" w:rsidP="00D92383">
            <w:pPr>
              <w:spacing w:line="276" w:lineRule="auto"/>
              <w:jc w:val="center"/>
              <w:rPr>
                <w:rFonts w:ascii="Times New Roman" w:hAnsi="Times New Roman" w:cs="Times New Roman"/>
                <w:b/>
                <w:sz w:val="28"/>
                <w:szCs w:val="28"/>
                <w:lang w:val="uk-UA"/>
              </w:rPr>
            </w:pPr>
          </w:p>
        </w:tc>
        <w:tc>
          <w:tcPr>
            <w:tcW w:w="1340" w:type="dxa"/>
          </w:tcPr>
          <w:p w:rsidR="00D92383" w:rsidRPr="00D92383" w:rsidRDefault="00D92383" w:rsidP="00D92383">
            <w:pPr>
              <w:spacing w:line="276" w:lineRule="auto"/>
              <w:jc w:val="center"/>
              <w:rPr>
                <w:rFonts w:ascii="Times New Roman" w:hAnsi="Times New Roman" w:cs="Times New Roman"/>
                <w:b/>
                <w:sz w:val="28"/>
                <w:szCs w:val="28"/>
                <w:lang w:val="uk-UA"/>
              </w:rPr>
            </w:pPr>
          </w:p>
        </w:tc>
        <w:tc>
          <w:tcPr>
            <w:tcW w:w="1979" w:type="dxa"/>
            <w:gridSpan w:val="4"/>
            <w:tcBorders>
              <w:bottom w:val="single" w:sz="4" w:space="0" w:color="auto"/>
            </w:tcBorders>
          </w:tcPr>
          <w:p w:rsidR="00D92383" w:rsidRPr="00D92383" w:rsidRDefault="00D92383" w:rsidP="00D92383">
            <w:pPr>
              <w:spacing w:line="276" w:lineRule="auto"/>
              <w:jc w:val="center"/>
              <w:rPr>
                <w:rFonts w:ascii="Times New Roman" w:hAnsi="Times New Roman" w:cs="Times New Roman"/>
                <w:b/>
                <w:sz w:val="28"/>
                <w:szCs w:val="28"/>
                <w:lang w:val="uk-UA"/>
              </w:rPr>
            </w:pPr>
          </w:p>
        </w:tc>
        <w:tc>
          <w:tcPr>
            <w:tcW w:w="2517" w:type="dxa"/>
            <w:gridSpan w:val="2"/>
          </w:tcPr>
          <w:p w:rsidR="00D92383" w:rsidRPr="00D92383" w:rsidRDefault="00D92383" w:rsidP="00D92383">
            <w:pPr>
              <w:spacing w:line="276" w:lineRule="auto"/>
              <w:jc w:val="center"/>
              <w:rPr>
                <w:rFonts w:ascii="Times New Roman" w:hAnsi="Times New Roman" w:cs="Times New Roman"/>
                <w:b/>
                <w:sz w:val="28"/>
                <w:szCs w:val="28"/>
                <w:lang w:val="uk-UA"/>
              </w:rPr>
            </w:pPr>
            <w:r w:rsidRPr="00D92383">
              <w:rPr>
                <w:rFonts w:ascii="Times New Roman" w:hAnsi="Times New Roman" w:cs="Times New Roman"/>
                <w:b/>
                <w:sz w:val="28"/>
                <w:szCs w:val="28"/>
                <w:lang w:val="uk-UA"/>
              </w:rPr>
              <w:t>А.В. Бондаренко</w:t>
            </w:r>
          </w:p>
        </w:tc>
      </w:tr>
      <w:tr w:rsidR="00D92383" w:rsidRPr="00D92383" w:rsidTr="00405405">
        <w:tc>
          <w:tcPr>
            <w:tcW w:w="1339" w:type="dxa"/>
          </w:tcPr>
          <w:p w:rsidR="00D92383" w:rsidRPr="00D92383" w:rsidRDefault="00D92383" w:rsidP="00D92383">
            <w:pPr>
              <w:spacing w:line="276" w:lineRule="auto"/>
              <w:jc w:val="center"/>
              <w:rPr>
                <w:rFonts w:ascii="Times New Roman" w:hAnsi="Times New Roman" w:cs="Times New Roman"/>
                <w:b/>
                <w:sz w:val="16"/>
                <w:szCs w:val="16"/>
                <w:lang w:val="uk-UA"/>
              </w:rPr>
            </w:pPr>
          </w:p>
        </w:tc>
        <w:tc>
          <w:tcPr>
            <w:tcW w:w="1340" w:type="dxa"/>
          </w:tcPr>
          <w:p w:rsidR="00D92383" w:rsidRPr="00D92383" w:rsidRDefault="00D92383" w:rsidP="00D92383">
            <w:pPr>
              <w:spacing w:line="276" w:lineRule="auto"/>
              <w:jc w:val="center"/>
              <w:rPr>
                <w:rFonts w:ascii="Times New Roman" w:hAnsi="Times New Roman" w:cs="Times New Roman"/>
                <w:b/>
                <w:sz w:val="16"/>
                <w:szCs w:val="16"/>
                <w:lang w:val="uk-UA"/>
              </w:rPr>
            </w:pPr>
          </w:p>
        </w:tc>
        <w:tc>
          <w:tcPr>
            <w:tcW w:w="1340" w:type="dxa"/>
          </w:tcPr>
          <w:p w:rsidR="00D92383" w:rsidRPr="00D92383" w:rsidRDefault="00D92383" w:rsidP="00D92383">
            <w:pPr>
              <w:spacing w:line="276" w:lineRule="auto"/>
              <w:jc w:val="center"/>
              <w:rPr>
                <w:rFonts w:ascii="Times New Roman" w:hAnsi="Times New Roman" w:cs="Times New Roman"/>
                <w:b/>
                <w:sz w:val="16"/>
                <w:szCs w:val="16"/>
                <w:lang w:val="uk-UA"/>
              </w:rPr>
            </w:pPr>
          </w:p>
        </w:tc>
        <w:tc>
          <w:tcPr>
            <w:tcW w:w="1340" w:type="dxa"/>
          </w:tcPr>
          <w:p w:rsidR="00D92383" w:rsidRPr="00D92383" w:rsidRDefault="00D92383" w:rsidP="00D92383">
            <w:pPr>
              <w:spacing w:line="276" w:lineRule="auto"/>
              <w:jc w:val="center"/>
              <w:rPr>
                <w:rFonts w:ascii="Times New Roman" w:hAnsi="Times New Roman" w:cs="Times New Roman"/>
                <w:b/>
                <w:sz w:val="16"/>
                <w:szCs w:val="16"/>
                <w:lang w:val="uk-UA"/>
              </w:rPr>
            </w:pPr>
          </w:p>
        </w:tc>
        <w:tc>
          <w:tcPr>
            <w:tcW w:w="1070" w:type="dxa"/>
            <w:gridSpan w:val="2"/>
          </w:tcPr>
          <w:p w:rsidR="00D92383" w:rsidRPr="00D92383" w:rsidRDefault="00D92383" w:rsidP="00D92383">
            <w:pPr>
              <w:spacing w:line="276" w:lineRule="auto"/>
              <w:jc w:val="center"/>
              <w:rPr>
                <w:rFonts w:ascii="Times New Roman" w:hAnsi="Times New Roman" w:cs="Times New Roman"/>
                <w:b/>
                <w:sz w:val="16"/>
                <w:szCs w:val="16"/>
                <w:lang w:val="uk-UA"/>
              </w:rPr>
            </w:pPr>
          </w:p>
        </w:tc>
        <w:tc>
          <w:tcPr>
            <w:tcW w:w="1707" w:type="dxa"/>
            <w:gridSpan w:val="3"/>
          </w:tcPr>
          <w:p w:rsidR="00D92383" w:rsidRPr="00D92383" w:rsidRDefault="00D92383" w:rsidP="00D92383">
            <w:pPr>
              <w:spacing w:line="276" w:lineRule="auto"/>
              <w:jc w:val="center"/>
              <w:rPr>
                <w:rFonts w:ascii="Times New Roman" w:hAnsi="Times New Roman" w:cs="Times New Roman"/>
                <w:b/>
                <w:sz w:val="16"/>
                <w:szCs w:val="16"/>
                <w:lang w:val="uk-UA"/>
              </w:rPr>
            </w:pPr>
          </w:p>
        </w:tc>
        <w:tc>
          <w:tcPr>
            <w:tcW w:w="1719" w:type="dxa"/>
          </w:tcPr>
          <w:p w:rsidR="00D92383" w:rsidRPr="00D92383" w:rsidRDefault="00D92383" w:rsidP="00D92383">
            <w:pPr>
              <w:spacing w:line="276" w:lineRule="auto"/>
              <w:jc w:val="center"/>
              <w:rPr>
                <w:rFonts w:ascii="Times New Roman" w:hAnsi="Times New Roman" w:cs="Times New Roman"/>
                <w:b/>
                <w:sz w:val="16"/>
                <w:szCs w:val="16"/>
                <w:lang w:val="uk-UA"/>
              </w:rPr>
            </w:pPr>
          </w:p>
        </w:tc>
      </w:tr>
      <w:tr w:rsidR="00D92383" w:rsidRPr="00D92383" w:rsidTr="00405405">
        <w:tc>
          <w:tcPr>
            <w:tcW w:w="1339" w:type="dxa"/>
          </w:tcPr>
          <w:p w:rsidR="00D92383" w:rsidRPr="00D92383" w:rsidRDefault="00D92383" w:rsidP="00D92383">
            <w:pPr>
              <w:spacing w:line="276" w:lineRule="auto"/>
              <w:jc w:val="center"/>
              <w:rPr>
                <w:rFonts w:ascii="Times New Roman" w:hAnsi="Times New Roman" w:cs="Times New Roman"/>
                <w:b/>
                <w:sz w:val="28"/>
                <w:szCs w:val="28"/>
                <w:lang w:val="uk-UA"/>
              </w:rPr>
            </w:pPr>
          </w:p>
        </w:tc>
        <w:tc>
          <w:tcPr>
            <w:tcW w:w="1340" w:type="dxa"/>
          </w:tcPr>
          <w:p w:rsidR="00D92383" w:rsidRPr="00D92383" w:rsidRDefault="00D92383" w:rsidP="00D92383">
            <w:pPr>
              <w:spacing w:line="276" w:lineRule="auto"/>
              <w:jc w:val="center"/>
              <w:rPr>
                <w:rFonts w:ascii="Times New Roman" w:hAnsi="Times New Roman" w:cs="Times New Roman"/>
                <w:b/>
                <w:sz w:val="28"/>
                <w:szCs w:val="28"/>
                <w:lang w:val="uk-UA"/>
              </w:rPr>
            </w:pPr>
          </w:p>
        </w:tc>
        <w:tc>
          <w:tcPr>
            <w:tcW w:w="1340" w:type="dxa"/>
          </w:tcPr>
          <w:p w:rsidR="00D92383" w:rsidRPr="00D92383" w:rsidRDefault="00D92383" w:rsidP="00D92383">
            <w:pPr>
              <w:spacing w:line="276" w:lineRule="auto"/>
              <w:jc w:val="center"/>
              <w:rPr>
                <w:rFonts w:ascii="Times New Roman" w:hAnsi="Times New Roman" w:cs="Times New Roman"/>
                <w:b/>
                <w:sz w:val="28"/>
                <w:szCs w:val="28"/>
                <w:lang w:val="uk-UA"/>
              </w:rPr>
            </w:pPr>
          </w:p>
        </w:tc>
        <w:tc>
          <w:tcPr>
            <w:tcW w:w="1340" w:type="dxa"/>
          </w:tcPr>
          <w:p w:rsidR="00D92383" w:rsidRPr="00D92383" w:rsidRDefault="00D92383" w:rsidP="00D92383">
            <w:pPr>
              <w:spacing w:line="276" w:lineRule="auto"/>
              <w:jc w:val="center"/>
              <w:rPr>
                <w:rFonts w:ascii="Times New Roman" w:hAnsi="Times New Roman" w:cs="Times New Roman"/>
                <w:b/>
                <w:sz w:val="28"/>
                <w:szCs w:val="28"/>
                <w:lang w:val="uk-UA"/>
              </w:rPr>
            </w:pPr>
          </w:p>
        </w:tc>
        <w:tc>
          <w:tcPr>
            <w:tcW w:w="363" w:type="dxa"/>
          </w:tcPr>
          <w:p w:rsidR="00D92383" w:rsidRPr="00D92383" w:rsidRDefault="00D92383" w:rsidP="00D92383">
            <w:pPr>
              <w:spacing w:line="276" w:lineRule="auto"/>
              <w:jc w:val="center"/>
              <w:rPr>
                <w:rFonts w:ascii="Times New Roman" w:hAnsi="Times New Roman" w:cs="Times New Roman"/>
                <w:b/>
                <w:sz w:val="28"/>
                <w:szCs w:val="28"/>
                <w:lang w:val="uk-UA"/>
              </w:rPr>
            </w:pPr>
            <w:r w:rsidRPr="00D92383">
              <w:rPr>
                <w:rFonts w:ascii="Times New Roman" w:hAnsi="Times New Roman" w:cs="Times New Roman"/>
                <w:b/>
                <w:sz w:val="28"/>
                <w:szCs w:val="28"/>
                <w:lang w:val="uk-UA"/>
              </w:rPr>
              <w:t>«</w:t>
            </w:r>
          </w:p>
        </w:tc>
        <w:tc>
          <w:tcPr>
            <w:tcW w:w="707" w:type="dxa"/>
            <w:tcBorders>
              <w:bottom w:val="single" w:sz="4" w:space="0" w:color="auto"/>
            </w:tcBorders>
          </w:tcPr>
          <w:p w:rsidR="00D92383" w:rsidRPr="00D92383" w:rsidRDefault="00D92383" w:rsidP="00D92383">
            <w:pPr>
              <w:spacing w:line="276" w:lineRule="auto"/>
              <w:jc w:val="center"/>
              <w:rPr>
                <w:rFonts w:ascii="Times New Roman" w:hAnsi="Times New Roman" w:cs="Times New Roman"/>
                <w:b/>
                <w:sz w:val="28"/>
                <w:szCs w:val="28"/>
                <w:lang w:val="uk-UA"/>
              </w:rPr>
            </w:pPr>
          </w:p>
        </w:tc>
        <w:tc>
          <w:tcPr>
            <w:tcW w:w="356" w:type="dxa"/>
          </w:tcPr>
          <w:p w:rsidR="00D92383" w:rsidRPr="00D92383" w:rsidRDefault="00D92383" w:rsidP="00D92383">
            <w:pPr>
              <w:spacing w:line="276" w:lineRule="auto"/>
              <w:jc w:val="center"/>
              <w:rPr>
                <w:rFonts w:ascii="Times New Roman" w:hAnsi="Times New Roman" w:cs="Times New Roman"/>
                <w:b/>
                <w:sz w:val="28"/>
                <w:szCs w:val="28"/>
                <w:lang w:val="uk-UA"/>
              </w:rPr>
            </w:pPr>
            <w:r w:rsidRPr="00D92383">
              <w:rPr>
                <w:rFonts w:ascii="Times New Roman" w:hAnsi="Times New Roman" w:cs="Times New Roman"/>
                <w:b/>
                <w:sz w:val="28"/>
                <w:szCs w:val="28"/>
                <w:lang w:val="uk-UA"/>
              </w:rPr>
              <w:t>»</w:t>
            </w:r>
          </w:p>
        </w:tc>
        <w:tc>
          <w:tcPr>
            <w:tcW w:w="3070" w:type="dxa"/>
            <w:gridSpan w:val="3"/>
            <w:tcBorders>
              <w:bottom w:val="single" w:sz="4" w:space="0" w:color="auto"/>
            </w:tcBorders>
          </w:tcPr>
          <w:p w:rsidR="00D92383" w:rsidRPr="00D92383" w:rsidRDefault="00D92383" w:rsidP="00D92383">
            <w:pPr>
              <w:spacing w:line="276" w:lineRule="auto"/>
              <w:jc w:val="center"/>
              <w:rPr>
                <w:rFonts w:ascii="Times New Roman" w:hAnsi="Times New Roman" w:cs="Times New Roman"/>
                <w:b/>
                <w:sz w:val="28"/>
                <w:szCs w:val="28"/>
                <w:lang w:val="uk-UA"/>
              </w:rPr>
            </w:pPr>
          </w:p>
        </w:tc>
      </w:tr>
    </w:tbl>
    <w:p w:rsidR="00D92383" w:rsidRPr="00D92383" w:rsidRDefault="00D92383" w:rsidP="00D92383">
      <w:pPr>
        <w:ind w:firstLine="0"/>
        <w:jc w:val="center"/>
        <w:rPr>
          <w:rFonts w:ascii="Times New Roman" w:eastAsia="Times New Roman" w:hAnsi="Times New Roman" w:cs="Times New Roman"/>
          <w:b/>
          <w:sz w:val="28"/>
          <w:szCs w:val="28"/>
          <w:lang w:val="uk-UA" w:eastAsia="ru-RU"/>
        </w:rPr>
      </w:pPr>
    </w:p>
    <w:p w:rsidR="00D92383" w:rsidRPr="00D92383" w:rsidRDefault="00D92383" w:rsidP="00D92383">
      <w:pPr>
        <w:ind w:firstLine="0"/>
        <w:jc w:val="center"/>
        <w:rPr>
          <w:rFonts w:ascii="Times New Roman" w:eastAsia="Times New Roman" w:hAnsi="Times New Roman" w:cs="Times New Roman"/>
          <w:b/>
          <w:sz w:val="28"/>
          <w:szCs w:val="28"/>
          <w:lang w:val="uk-UA" w:eastAsia="ru-RU"/>
        </w:rPr>
      </w:pPr>
    </w:p>
    <w:p w:rsidR="00D92383" w:rsidRPr="00D92383" w:rsidRDefault="00D92383" w:rsidP="00D92383">
      <w:pPr>
        <w:ind w:firstLine="0"/>
        <w:jc w:val="center"/>
        <w:rPr>
          <w:rFonts w:ascii="Times New Roman" w:eastAsia="Times New Roman" w:hAnsi="Times New Roman" w:cs="Times New Roman"/>
          <w:b/>
          <w:sz w:val="28"/>
          <w:szCs w:val="28"/>
          <w:lang w:val="uk-UA" w:eastAsia="ru-RU"/>
        </w:rPr>
      </w:pPr>
      <w:r w:rsidRPr="00D92383">
        <w:rPr>
          <w:rFonts w:ascii="Times New Roman" w:eastAsia="Times New Roman" w:hAnsi="Times New Roman" w:cs="Times New Roman"/>
          <w:b/>
          <w:sz w:val="28"/>
          <w:szCs w:val="28"/>
          <w:lang w:val="uk-UA" w:eastAsia="ru-RU"/>
        </w:rPr>
        <w:t>Перелік питань</w:t>
      </w:r>
    </w:p>
    <w:p w:rsidR="00D92383" w:rsidRPr="00D92383" w:rsidRDefault="00D92383" w:rsidP="00D92383">
      <w:pPr>
        <w:ind w:firstLine="0"/>
        <w:jc w:val="center"/>
        <w:rPr>
          <w:rFonts w:ascii="Times New Roman" w:eastAsia="Times New Roman" w:hAnsi="Times New Roman" w:cs="Times New Roman"/>
          <w:sz w:val="28"/>
          <w:szCs w:val="28"/>
          <w:lang w:val="uk-UA" w:eastAsia="ru-RU"/>
        </w:rPr>
      </w:pPr>
      <w:r w:rsidRPr="00D92383">
        <w:rPr>
          <w:rFonts w:ascii="Times New Roman" w:eastAsia="Times New Roman" w:hAnsi="Times New Roman" w:cs="Times New Roman"/>
          <w:sz w:val="28"/>
          <w:szCs w:val="28"/>
          <w:lang w:val="uk-UA" w:eastAsia="ru-RU"/>
        </w:rPr>
        <w:t>для конкурсу на заміщення вакантної посади</w:t>
      </w:r>
    </w:p>
    <w:p w:rsidR="00D92383" w:rsidRPr="00D92383" w:rsidRDefault="00D92383" w:rsidP="00D92383">
      <w:pPr>
        <w:ind w:firstLine="0"/>
        <w:jc w:val="center"/>
        <w:rPr>
          <w:rFonts w:ascii="Times New Roman" w:eastAsia="Times New Roman" w:hAnsi="Times New Roman" w:cs="Times New Roman"/>
          <w:sz w:val="28"/>
          <w:szCs w:val="28"/>
          <w:lang w:val="uk-UA" w:eastAsia="ru-RU"/>
        </w:rPr>
      </w:pPr>
      <w:r w:rsidRPr="00D92383">
        <w:rPr>
          <w:rFonts w:ascii="Times New Roman" w:eastAsia="Times New Roman" w:hAnsi="Times New Roman" w:cs="Times New Roman"/>
          <w:sz w:val="28"/>
          <w:szCs w:val="28"/>
          <w:lang w:val="uk-UA" w:eastAsia="ru-RU"/>
        </w:rPr>
        <w:t>директора департаменту фінансової політики Черкаської міської ради</w:t>
      </w:r>
    </w:p>
    <w:p w:rsidR="00D92383" w:rsidRPr="00D92383" w:rsidRDefault="00D92383" w:rsidP="00D92383">
      <w:pPr>
        <w:tabs>
          <w:tab w:val="left" w:pos="1134"/>
        </w:tabs>
        <w:ind w:left="567" w:firstLine="0"/>
        <w:contextualSpacing/>
        <w:rPr>
          <w:rFonts w:ascii="Times New Roman" w:eastAsia="Times New Roman" w:hAnsi="Times New Roman" w:cs="Times New Roman"/>
          <w:b/>
          <w:sz w:val="28"/>
          <w:szCs w:val="28"/>
          <w:lang w:val="uk-UA" w:eastAsia="ru-RU"/>
        </w:rPr>
      </w:pPr>
    </w:p>
    <w:p w:rsidR="00D92383" w:rsidRPr="00D92383" w:rsidRDefault="00D92383" w:rsidP="00D92383">
      <w:pPr>
        <w:numPr>
          <w:ilvl w:val="0"/>
          <w:numId w:val="1"/>
        </w:numPr>
        <w:tabs>
          <w:tab w:val="left" w:pos="993"/>
          <w:tab w:val="left" w:pos="1134"/>
        </w:tabs>
        <w:spacing w:after="200" w:line="276" w:lineRule="auto"/>
        <w:contextualSpacing/>
        <w:jc w:val="left"/>
        <w:rPr>
          <w:rFonts w:ascii="Times New Roman" w:eastAsia="Times New Roman" w:hAnsi="Times New Roman" w:cs="Times New Roman"/>
          <w:sz w:val="28"/>
          <w:szCs w:val="28"/>
          <w:lang w:val="uk-UA" w:eastAsia="ru-RU"/>
        </w:rPr>
      </w:pPr>
      <w:r w:rsidRPr="00D92383">
        <w:rPr>
          <w:rFonts w:ascii="Times New Roman" w:eastAsia="Times New Roman" w:hAnsi="Times New Roman" w:cs="Times New Roman"/>
          <w:sz w:val="28"/>
          <w:szCs w:val="28"/>
          <w:lang w:val="uk-UA" w:eastAsia="ru-RU"/>
        </w:rPr>
        <w:t>Склад бюджетного законодавства (ст. 4 Бюджетного кодексу України).</w:t>
      </w:r>
    </w:p>
    <w:p w:rsidR="00D92383" w:rsidRPr="00D92383" w:rsidRDefault="00D92383" w:rsidP="00D92383">
      <w:pPr>
        <w:tabs>
          <w:tab w:val="left" w:pos="993"/>
          <w:tab w:val="left" w:pos="1134"/>
        </w:tabs>
        <w:ind w:firstLine="0"/>
        <w:rPr>
          <w:rFonts w:ascii="Times New Roman" w:eastAsia="Times New Roman" w:hAnsi="Times New Roman" w:cs="Times New Roman"/>
          <w:sz w:val="20"/>
          <w:szCs w:val="20"/>
          <w:lang w:val="uk-UA" w:eastAsia="ru-RU"/>
        </w:rPr>
      </w:pPr>
    </w:p>
    <w:p w:rsidR="00D92383" w:rsidRPr="00D92383" w:rsidRDefault="00D92383" w:rsidP="00D92383">
      <w:pPr>
        <w:numPr>
          <w:ilvl w:val="0"/>
          <w:numId w:val="1"/>
        </w:numPr>
        <w:tabs>
          <w:tab w:val="left" w:pos="1134"/>
        </w:tabs>
        <w:spacing w:after="200" w:line="276" w:lineRule="auto"/>
        <w:jc w:val="left"/>
        <w:rPr>
          <w:rFonts w:ascii="Times New Roman" w:eastAsia="Times New Roman" w:hAnsi="Times New Roman" w:cs="Times New Roman"/>
          <w:sz w:val="28"/>
          <w:szCs w:val="28"/>
          <w:lang w:val="uk-UA" w:eastAsia="uk-UA"/>
        </w:rPr>
      </w:pPr>
      <w:r w:rsidRPr="00D92383">
        <w:rPr>
          <w:rFonts w:ascii="Times New Roman" w:eastAsia="Times New Roman" w:hAnsi="Times New Roman" w:cs="Times New Roman"/>
          <w:sz w:val="28"/>
          <w:szCs w:val="28"/>
          <w:lang w:val="uk-UA" w:eastAsia="uk-UA"/>
        </w:rPr>
        <w:t>Структура бюджетної системи України (ст. 5 Бюджетного кодексу України).</w:t>
      </w:r>
    </w:p>
    <w:p w:rsidR="00D92383" w:rsidRPr="00D92383" w:rsidRDefault="00D92383" w:rsidP="00D92383">
      <w:pPr>
        <w:numPr>
          <w:ilvl w:val="0"/>
          <w:numId w:val="1"/>
        </w:numPr>
        <w:tabs>
          <w:tab w:val="left" w:pos="993"/>
          <w:tab w:val="left" w:pos="1134"/>
        </w:tabs>
        <w:spacing w:after="200" w:line="276" w:lineRule="auto"/>
        <w:contextualSpacing/>
        <w:jc w:val="left"/>
        <w:rPr>
          <w:rFonts w:ascii="Times New Roman" w:eastAsia="Times New Roman" w:hAnsi="Times New Roman" w:cs="Times New Roman"/>
          <w:sz w:val="28"/>
          <w:szCs w:val="28"/>
          <w:lang w:val="uk-UA" w:eastAsia="ru-RU"/>
        </w:rPr>
      </w:pPr>
      <w:r w:rsidRPr="00D92383">
        <w:rPr>
          <w:rFonts w:ascii="Times New Roman" w:eastAsia="Times New Roman" w:hAnsi="Times New Roman" w:cs="Times New Roman"/>
          <w:sz w:val="28"/>
          <w:szCs w:val="28"/>
          <w:lang w:val="uk-UA" w:eastAsia="ru-RU"/>
        </w:rPr>
        <w:t>Принципи бюджетної системи (ст. 7 Бюджетного кодексу України).</w:t>
      </w:r>
    </w:p>
    <w:p w:rsidR="00D92383" w:rsidRPr="00D92383" w:rsidRDefault="00D92383" w:rsidP="00D92383">
      <w:pPr>
        <w:tabs>
          <w:tab w:val="left" w:pos="993"/>
          <w:tab w:val="left" w:pos="1134"/>
        </w:tabs>
        <w:contextualSpacing/>
        <w:outlineLvl w:val="2"/>
        <w:rPr>
          <w:rFonts w:ascii="Times New Roman" w:eastAsia="Times New Roman" w:hAnsi="Times New Roman" w:cs="Times New Roman"/>
          <w:bCs/>
          <w:sz w:val="20"/>
          <w:szCs w:val="20"/>
          <w:lang w:val="uk-UA" w:eastAsia="ru-RU"/>
        </w:rPr>
      </w:pPr>
    </w:p>
    <w:p w:rsidR="00D92383" w:rsidRPr="00D92383" w:rsidRDefault="00D92383" w:rsidP="00D92383">
      <w:pPr>
        <w:numPr>
          <w:ilvl w:val="0"/>
          <w:numId w:val="1"/>
        </w:numPr>
        <w:tabs>
          <w:tab w:val="left" w:pos="993"/>
          <w:tab w:val="left" w:pos="1134"/>
        </w:tabs>
        <w:spacing w:after="200" w:line="276" w:lineRule="auto"/>
        <w:contextualSpacing/>
        <w:jc w:val="left"/>
        <w:rPr>
          <w:rFonts w:ascii="Times New Roman" w:eastAsia="Times New Roman" w:hAnsi="Times New Roman" w:cs="Times New Roman"/>
          <w:sz w:val="28"/>
          <w:szCs w:val="28"/>
          <w:lang w:val="uk-UA" w:eastAsia="ru-RU"/>
        </w:rPr>
      </w:pPr>
      <w:r w:rsidRPr="00D92383">
        <w:rPr>
          <w:rFonts w:ascii="Times New Roman" w:eastAsia="Times New Roman" w:hAnsi="Times New Roman" w:cs="Times New Roman"/>
          <w:sz w:val="28"/>
          <w:szCs w:val="28"/>
          <w:lang w:val="uk-UA" w:eastAsia="ru-RU"/>
        </w:rPr>
        <w:t>Повноваження виконавчих органів сільських, селищних, міських рад в галузі бюджету, фінансів і цін (ст. 28 Закону України «Про місцеве самоврядування в Україні»).</w:t>
      </w:r>
    </w:p>
    <w:p w:rsidR="00D92383" w:rsidRPr="00D92383" w:rsidRDefault="00D92383" w:rsidP="00D92383">
      <w:pPr>
        <w:spacing w:after="200" w:line="276" w:lineRule="auto"/>
        <w:ind w:left="720" w:firstLine="0"/>
        <w:contextualSpacing/>
        <w:jc w:val="left"/>
        <w:rPr>
          <w:rFonts w:ascii="Times New Roman" w:eastAsia="Times New Roman" w:hAnsi="Times New Roman" w:cs="Times New Roman"/>
          <w:sz w:val="20"/>
          <w:szCs w:val="20"/>
          <w:lang w:val="uk-UA" w:eastAsia="ru-RU"/>
        </w:rPr>
      </w:pPr>
    </w:p>
    <w:p w:rsidR="00D92383" w:rsidRPr="00D92383" w:rsidRDefault="00D92383" w:rsidP="00D92383">
      <w:pPr>
        <w:numPr>
          <w:ilvl w:val="0"/>
          <w:numId w:val="1"/>
        </w:numPr>
        <w:tabs>
          <w:tab w:val="left" w:pos="993"/>
          <w:tab w:val="left" w:pos="1134"/>
        </w:tabs>
        <w:spacing w:after="200" w:line="276" w:lineRule="auto"/>
        <w:contextualSpacing/>
        <w:jc w:val="left"/>
        <w:rPr>
          <w:rFonts w:ascii="Times New Roman" w:eastAsia="Times New Roman" w:hAnsi="Times New Roman" w:cs="Times New Roman"/>
          <w:sz w:val="28"/>
          <w:szCs w:val="28"/>
          <w:lang w:val="uk-UA" w:eastAsia="ru-RU"/>
        </w:rPr>
      </w:pPr>
      <w:r w:rsidRPr="00D92383">
        <w:rPr>
          <w:rFonts w:ascii="Times New Roman" w:eastAsia="Times New Roman" w:hAnsi="Times New Roman" w:cs="Times New Roman"/>
          <w:sz w:val="28"/>
          <w:szCs w:val="28"/>
          <w:lang w:val="uk-UA" w:eastAsia="ru-RU"/>
        </w:rPr>
        <w:t>Бюджетні призначення та асигнування ( ст. 23 Бюджетного кодексу України).</w:t>
      </w:r>
    </w:p>
    <w:p w:rsidR="00D92383" w:rsidRPr="00D92383" w:rsidRDefault="00D92383" w:rsidP="00D92383">
      <w:pPr>
        <w:tabs>
          <w:tab w:val="left" w:pos="1134"/>
          <w:tab w:val="left" w:pos="7056"/>
        </w:tabs>
        <w:contextualSpacing/>
        <w:outlineLvl w:val="2"/>
        <w:rPr>
          <w:rFonts w:ascii="Times New Roman" w:eastAsia="Times New Roman" w:hAnsi="Times New Roman" w:cs="Times New Roman"/>
          <w:bCs/>
          <w:sz w:val="20"/>
          <w:szCs w:val="20"/>
          <w:lang w:val="uk-UA" w:eastAsia="ru-RU"/>
        </w:rPr>
      </w:pPr>
    </w:p>
    <w:p w:rsidR="00D92383" w:rsidRPr="00D92383" w:rsidRDefault="00D92383" w:rsidP="00D92383">
      <w:pPr>
        <w:numPr>
          <w:ilvl w:val="0"/>
          <w:numId w:val="1"/>
        </w:numPr>
        <w:tabs>
          <w:tab w:val="left" w:pos="993"/>
          <w:tab w:val="left" w:pos="1134"/>
        </w:tabs>
        <w:spacing w:after="200" w:line="276" w:lineRule="auto"/>
        <w:contextualSpacing/>
        <w:jc w:val="left"/>
        <w:rPr>
          <w:rFonts w:ascii="Times New Roman" w:eastAsia="Times New Roman" w:hAnsi="Times New Roman" w:cs="Times New Roman"/>
          <w:sz w:val="28"/>
          <w:szCs w:val="28"/>
          <w:lang w:val="uk-UA" w:eastAsia="ru-RU"/>
        </w:rPr>
      </w:pPr>
      <w:r w:rsidRPr="00D92383">
        <w:rPr>
          <w:rFonts w:ascii="Times New Roman" w:eastAsia="Times New Roman" w:hAnsi="Times New Roman" w:cs="Times New Roman"/>
          <w:sz w:val="28"/>
          <w:szCs w:val="28"/>
          <w:lang w:val="uk-UA" w:eastAsia="ru-RU"/>
        </w:rPr>
        <w:t>Бюджет розвитку місцевих бюджетів (ст. 71 Бюджетного кодексу України).</w:t>
      </w:r>
    </w:p>
    <w:p w:rsidR="00D92383" w:rsidRPr="00D92383" w:rsidRDefault="00D92383" w:rsidP="00D92383">
      <w:pPr>
        <w:tabs>
          <w:tab w:val="left" w:pos="993"/>
          <w:tab w:val="left" w:pos="1134"/>
        </w:tabs>
        <w:contextualSpacing/>
        <w:rPr>
          <w:rFonts w:ascii="Times New Roman" w:eastAsia="Times New Roman" w:hAnsi="Times New Roman" w:cs="Times New Roman"/>
          <w:sz w:val="20"/>
          <w:szCs w:val="20"/>
          <w:lang w:val="uk-UA" w:eastAsia="ru-RU"/>
        </w:rPr>
      </w:pPr>
    </w:p>
    <w:p w:rsidR="00D92383" w:rsidRPr="00D92383" w:rsidRDefault="00D92383" w:rsidP="00D92383">
      <w:pPr>
        <w:numPr>
          <w:ilvl w:val="0"/>
          <w:numId w:val="1"/>
        </w:numPr>
        <w:tabs>
          <w:tab w:val="left" w:pos="993"/>
          <w:tab w:val="left" w:pos="1134"/>
        </w:tabs>
        <w:spacing w:after="200" w:line="276" w:lineRule="auto"/>
        <w:contextualSpacing/>
        <w:jc w:val="left"/>
        <w:rPr>
          <w:rFonts w:ascii="Times New Roman" w:eastAsia="Times New Roman" w:hAnsi="Times New Roman" w:cs="Times New Roman"/>
          <w:sz w:val="28"/>
          <w:szCs w:val="28"/>
          <w:lang w:val="uk-UA" w:eastAsia="ru-RU"/>
        </w:rPr>
      </w:pPr>
      <w:r w:rsidRPr="00D92383">
        <w:rPr>
          <w:rFonts w:ascii="Times New Roman" w:eastAsia="Times New Roman" w:hAnsi="Times New Roman" w:cs="Times New Roman"/>
          <w:sz w:val="28"/>
          <w:szCs w:val="28"/>
          <w:lang w:val="uk-UA" w:eastAsia="ru-RU"/>
        </w:rPr>
        <w:t>Проект рішення про місцевий бюджет та матеріали, що до нього додаються, предмет регулювання рішення про місцевий бюджет (ст. 76 Бюджетного кодексу України).</w:t>
      </w:r>
    </w:p>
    <w:p w:rsidR="00D92383" w:rsidRPr="00D92383" w:rsidRDefault="00D92383" w:rsidP="00D92383">
      <w:pPr>
        <w:shd w:val="clear" w:color="auto" w:fill="FFFFFF"/>
        <w:tabs>
          <w:tab w:val="left" w:pos="993"/>
          <w:tab w:val="left" w:pos="1134"/>
        </w:tabs>
        <w:contextualSpacing/>
        <w:rPr>
          <w:rFonts w:ascii="Times New Roman" w:eastAsia="Times New Roman" w:hAnsi="Times New Roman" w:cs="Times New Roman"/>
          <w:sz w:val="20"/>
          <w:szCs w:val="20"/>
          <w:lang w:val="uk-UA" w:eastAsia="ru-RU"/>
        </w:rPr>
      </w:pPr>
    </w:p>
    <w:p w:rsidR="00D92383" w:rsidRPr="00D92383" w:rsidRDefault="00D92383" w:rsidP="00D92383">
      <w:pPr>
        <w:numPr>
          <w:ilvl w:val="0"/>
          <w:numId w:val="1"/>
        </w:numPr>
        <w:tabs>
          <w:tab w:val="left" w:pos="993"/>
          <w:tab w:val="left" w:pos="1134"/>
        </w:tabs>
        <w:spacing w:after="200" w:line="276" w:lineRule="auto"/>
        <w:contextualSpacing/>
        <w:jc w:val="left"/>
        <w:rPr>
          <w:rFonts w:ascii="Times New Roman" w:eastAsia="Times New Roman" w:hAnsi="Times New Roman" w:cs="Times New Roman"/>
          <w:sz w:val="28"/>
          <w:szCs w:val="28"/>
          <w:lang w:val="uk-UA" w:eastAsia="ru-RU"/>
        </w:rPr>
      </w:pPr>
      <w:r w:rsidRPr="00D92383">
        <w:rPr>
          <w:rFonts w:ascii="Times New Roman" w:eastAsia="Times New Roman" w:hAnsi="Times New Roman" w:cs="Times New Roman"/>
          <w:sz w:val="28"/>
          <w:szCs w:val="28"/>
          <w:lang w:val="uk-UA" w:eastAsia="ru-RU"/>
        </w:rPr>
        <w:t>Виконання місцевих бюджетів (ст. 78 Бюджетного кодексу України).</w:t>
      </w:r>
    </w:p>
    <w:p w:rsidR="00D92383" w:rsidRPr="00D92383" w:rsidRDefault="00D92383" w:rsidP="00D92383">
      <w:pPr>
        <w:shd w:val="clear" w:color="auto" w:fill="FFFFFF"/>
        <w:tabs>
          <w:tab w:val="left" w:pos="993"/>
          <w:tab w:val="left" w:pos="1134"/>
        </w:tabs>
        <w:contextualSpacing/>
        <w:rPr>
          <w:rFonts w:ascii="Times New Roman" w:eastAsia="Times New Roman" w:hAnsi="Times New Roman" w:cs="Times New Roman"/>
          <w:sz w:val="20"/>
          <w:szCs w:val="20"/>
          <w:lang w:val="uk-UA" w:eastAsia="ru-RU"/>
        </w:rPr>
      </w:pPr>
    </w:p>
    <w:p w:rsidR="00D92383" w:rsidRPr="00D92383" w:rsidRDefault="00D92383" w:rsidP="00D92383">
      <w:pPr>
        <w:numPr>
          <w:ilvl w:val="0"/>
          <w:numId w:val="1"/>
        </w:numPr>
        <w:tabs>
          <w:tab w:val="left" w:pos="993"/>
          <w:tab w:val="left" w:pos="1134"/>
        </w:tabs>
        <w:spacing w:after="200" w:line="276" w:lineRule="auto"/>
        <w:contextualSpacing/>
        <w:jc w:val="left"/>
        <w:rPr>
          <w:rFonts w:ascii="Times New Roman" w:eastAsia="Times New Roman" w:hAnsi="Times New Roman" w:cs="Times New Roman"/>
          <w:sz w:val="28"/>
          <w:szCs w:val="28"/>
          <w:lang w:val="uk-UA" w:eastAsia="ru-RU"/>
        </w:rPr>
      </w:pPr>
      <w:r w:rsidRPr="00D92383">
        <w:rPr>
          <w:rFonts w:ascii="Times New Roman" w:eastAsia="Times New Roman" w:hAnsi="Times New Roman" w:cs="Times New Roman"/>
          <w:sz w:val="28"/>
          <w:szCs w:val="28"/>
          <w:lang w:val="uk-UA" w:eastAsia="ru-RU"/>
        </w:rPr>
        <w:t>Види міжбюджетних трансфертів. Міжбюджетні трансферти між місцевими бюджетами (ст. 96, ст. 101 Бюджетного кодексу України).</w:t>
      </w:r>
    </w:p>
    <w:p w:rsidR="00D92383" w:rsidRPr="00D92383" w:rsidRDefault="00D92383" w:rsidP="00D92383">
      <w:pPr>
        <w:tabs>
          <w:tab w:val="left" w:pos="993"/>
          <w:tab w:val="left" w:pos="1134"/>
        </w:tabs>
        <w:contextualSpacing/>
        <w:rPr>
          <w:rFonts w:ascii="Times New Roman" w:eastAsia="Times New Roman" w:hAnsi="Times New Roman" w:cs="Times New Roman"/>
          <w:sz w:val="20"/>
          <w:szCs w:val="20"/>
          <w:lang w:val="uk-UA" w:eastAsia="ru-RU"/>
        </w:rPr>
      </w:pPr>
    </w:p>
    <w:p w:rsidR="00D92383" w:rsidRPr="00D92383" w:rsidRDefault="00D92383" w:rsidP="00D92383">
      <w:pPr>
        <w:numPr>
          <w:ilvl w:val="0"/>
          <w:numId w:val="1"/>
        </w:numPr>
        <w:tabs>
          <w:tab w:val="left" w:pos="993"/>
          <w:tab w:val="left" w:pos="1134"/>
        </w:tabs>
        <w:spacing w:after="200" w:line="276" w:lineRule="auto"/>
        <w:contextualSpacing/>
        <w:jc w:val="left"/>
        <w:rPr>
          <w:rFonts w:ascii="Times New Roman" w:eastAsia="Times New Roman" w:hAnsi="Times New Roman" w:cs="Times New Roman"/>
          <w:sz w:val="28"/>
          <w:szCs w:val="28"/>
          <w:lang w:val="uk-UA" w:eastAsia="ru-RU"/>
        </w:rPr>
      </w:pPr>
      <w:r w:rsidRPr="00D92383">
        <w:rPr>
          <w:rFonts w:ascii="Times New Roman" w:eastAsia="Times New Roman" w:hAnsi="Times New Roman" w:cs="Times New Roman"/>
          <w:sz w:val="28"/>
          <w:szCs w:val="28"/>
          <w:lang w:val="uk-UA" w:eastAsia="ru-RU"/>
        </w:rPr>
        <w:t>Повноваження Міністерства фінансів України та місцевих фінансових органів з контролю за дотриманням бюджетного законодавства (ст. 111 Бюджетного кодексу України).</w:t>
      </w:r>
    </w:p>
    <w:p w:rsidR="00D92383" w:rsidRPr="00D92383" w:rsidRDefault="00D92383" w:rsidP="00D92383">
      <w:pPr>
        <w:shd w:val="clear" w:color="auto" w:fill="FFFFFF"/>
        <w:tabs>
          <w:tab w:val="left" w:pos="993"/>
          <w:tab w:val="left" w:pos="1134"/>
        </w:tabs>
        <w:contextualSpacing/>
        <w:rPr>
          <w:rFonts w:ascii="Times New Roman" w:eastAsia="Times New Roman" w:hAnsi="Times New Roman" w:cs="Times New Roman"/>
          <w:sz w:val="20"/>
          <w:szCs w:val="20"/>
          <w:lang w:val="uk-UA" w:eastAsia="ru-RU"/>
        </w:rPr>
      </w:pPr>
    </w:p>
    <w:p w:rsidR="00D92383" w:rsidRPr="00D92383" w:rsidRDefault="00D92383" w:rsidP="00D92383">
      <w:pPr>
        <w:numPr>
          <w:ilvl w:val="0"/>
          <w:numId w:val="1"/>
        </w:numPr>
        <w:tabs>
          <w:tab w:val="left" w:pos="993"/>
          <w:tab w:val="left" w:pos="1134"/>
        </w:tabs>
        <w:spacing w:after="200" w:line="276" w:lineRule="auto"/>
        <w:contextualSpacing/>
        <w:jc w:val="left"/>
        <w:rPr>
          <w:rFonts w:ascii="Times New Roman" w:eastAsia="Times New Roman" w:hAnsi="Times New Roman" w:cs="Times New Roman"/>
          <w:sz w:val="28"/>
          <w:szCs w:val="28"/>
          <w:lang w:val="uk-UA" w:eastAsia="ru-RU"/>
        </w:rPr>
      </w:pPr>
      <w:r w:rsidRPr="00D92383">
        <w:rPr>
          <w:rFonts w:ascii="Times New Roman" w:eastAsia="Times New Roman" w:hAnsi="Times New Roman" w:cs="Times New Roman"/>
          <w:sz w:val="28"/>
          <w:szCs w:val="28"/>
          <w:lang w:val="uk-UA" w:eastAsia="ru-RU"/>
        </w:rPr>
        <w:t>Порушення бюджетного законодавства та заходи впливу за порушення бюджетного законодавства (ст. 116, ст. 117 Бюджетного кодексу України).</w:t>
      </w:r>
    </w:p>
    <w:p w:rsidR="00D92383" w:rsidRPr="00D92383" w:rsidRDefault="00D92383" w:rsidP="00D92383">
      <w:pPr>
        <w:tabs>
          <w:tab w:val="left" w:pos="993"/>
          <w:tab w:val="left" w:pos="1134"/>
        </w:tabs>
        <w:rPr>
          <w:rFonts w:ascii="Times New Roman" w:eastAsia="Times New Roman" w:hAnsi="Times New Roman" w:cs="Times New Roman"/>
          <w:sz w:val="20"/>
          <w:szCs w:val="20"/>
          <w:lang w:val="uk-UA" w:eastAsia="ru-RU"/>
        </w:rPr>
      </w:pPr>
    </w:p>
    <w:p w:rsidR="00D92383" w:rsidRPr="00D92383" w:rsidRDefault="00D92383" w:rsidP="00D92383">
      <w:pPr>
        <w:numPr>
          <w:ilvl w:val="0"/>
          <w:numId w:val="1"/>
        </w:numPr>
        <w:tabs>
          <w:tab w:val="left" w:pos="567"/>
          <w:tab w:val="left" w:pos="1134"/>
        </w:tabs>
        <w:spacing w:after="200" w:line="276" w:lineRule="auto"/>
        <w:jc w:val="left"/>
        <w:rPr>
          <w:rFonts w:ascii="Times New Roman" w:eastAsia="Times New Roman" w:hAnsi="Times New Roman" w:cs="Times New Roman"/>
          <w:sz w:val="28"/>
          <w:szCs w:val="28"/>
          <w:lang w:val="uk-UA" w:eastAsia="ru-RU"/>
        </w:rPr>
      </w:pPr>
      <w:r w:rsidRPr="00D92383">
        <w:rPr>
          <w:rFonts w:ascii="Times New Roman" w:eastAsia="Times New Roman" w:hAnsi="Times New Roman" w:cs="Times New Roman"/>
          <w:sz w:val="28"/>
          <w:szCs w:val="28"/>
          <w:lang w:val="uk-UA" w:eastAsia="ru-RU"/>
        </w:rPr>
        <w:lastRenderedPageBreak/>
        <w:t>Бюджетний період (ст. 3 Бюджетного кодексу України).</w:t>
      </w:r>
    </w:p>
    <w:p w:rsidR="00D92383" w:rsidRPr="00D92383" w:rsidRDefault="00D92383" w:rsidP="00D92383">
      <w:pPr>
        <w:numPr>
          <w:ilvl w:val="0"/>
          <w:numId w:val="1"/>
        </w:numPr>
        <w:shd w:val="clear" w:color="auto" w:fill="FFFFFF"/>
        <w:tabs>
          <w:tab w:val="left" w:pos="1134"/>
        </w:tabs>
        <w:spacing w:after="200" w:line="276" w:lineRule="auto"/>
        <w:jc w:val="left"/>
        <w:outlineLvl w:val="2"/>
        <w:rPr>
          <w:rFonts w:ascii="Times New Roman" w:eastAsia="Times New Roman" w:hAnsi="Times New Roman" w:cs="Times New Roman"/>
          <w:bCs/>
          <w:sz w:val="28"/>
          <w:szCs w:val="28"/>
          <w:lang w:val="uk-UA" w:eastAsia="ru-RU"/>
        </w:rPr>
      </w:pPr>
      <w:r w:rsidRPr="00D92383">
        <w:rPr>
          <w:rFonts w:ascii="Times New Roman" w:eastAsia="Times New Roman" w:hAnsi="Times New Roman" w:cs="Times New Roman"/>
          <w:bCs/>
          <w:sz w:val="28"/>
          <w:szCs w:val="28"/>
          <w:lang w:val="uk-UA" w:eastAsia="ru-RU"/>
        </w:rPr>
        <w:t>Стадії та учасники бюджетного процесу (ст. 19 Бюджетного кодексу України).</w:t>
      </w:r>
    </w:p>
    <w:p w:rsidR="00D92383" w:rsidRPr="00D92383" w:rsidRDefault="00D92383" w:rsidP="00D92383">
      <w:pPr>
        <w:numPr>
          <w:ilvl w:val="0"/>
          <w:numId w:val="1"/>
        </w:numPr>
        <w:tabs>
          <w:tab w:val="left" w:pos="1134"/>
        </w:tabs>
        <w:spacing w:after="200" w:line="276" w:lineRule="auto"/>
        <w:contextualSpacing/>
        <w:jc w:val="left"/>
        <w:rPr>
          <w:rFonts w:ascii="Times New Roman" w:eastAsia="Times New Roman" w:hAnsi="Times New Roman" w:cs="Times New Roman"/>
          <w:sz w:val="28"/>
          <w:szCs w:val="28"/>
          <w:lang w:val="uk-UA" w:eastAsia="ru-RU"/>
        </w:rPr>
      </w:pPr>
      <w:r w:rsidRPr="00D92383">
        <w:rPr>
          <w:rFonts w:ascii="Times New Roman" w:eastAsia="Times New Roman" w:hAnsi="Times New Roman" w:cs="Times New Roman"/>
          <w:sz w:val="28"/>
          <w:szCs w:val="28"/>
          <w:lang w:val="uk-UA" w:eastAsia="ru-RU"/>
        </w:rPr>
        <w:t>Місцеві податки та їх особливості відповідно до Податкового кодексу України ( ст. 10 Податкового кодексу України).</w:t>
      </w:r>
    </w:p>
    <w:p w:rsidR="00D92383" w:rsidRPr="00D92383" w:rsidRDefault="00D92383" w:rsidP="00D92383">
      <w:pPr>
        <w:tabs>
          <w:tab w:val="left" w:pos="1134"/>
        </w:tabs>
        <w:contextualSpacing/>
        <w:rPr>
          <w:rFonts w:ascii="Times New Roman" w:eastAsia="Times New Roman" w:hAnsi="Times New Roman" w:cs="Times New Roman"/>
          <w:sz w:val="28"/>
          <w:szCs w:val="28"/>
          <w:lang w:val="uk-UA" w:eastAsia="ru-RU"/>
        </w:rPr>
      </w:pPr>
    </w:p>
    <w:p w:rsidR="00D92383" w:rsidRPr="00D92383" w:rsidRDefault="00D92383" w:rsidP="00D92383">
      <w:pPr>
        <w:numPr>
          <w:ilvl w:val="0"/>
          <w:numId w:val="1"/>
        </w:numPr>
        <w:tabs>
          <w:tab w:val="left" w:pos="1134"/>
        </w:tabs>
        <w:spacing w:after="200" w:line="276" w:lineRule="auto"/>
        <w:contextualSpacing/>
        <w:jc w:val="left"/>
        <w:rPr>
          <w:rFonts w:ascii="Times New Roman" w:eastAsia="Times New Roman" w:hAnsi="Times New Roman" w:cs="Times New Roman"/>
          <w:sz w:val="28"/>
          <w:szCs w:val="28"/>
          <w:lang w:val="uk-UA" w:eastAsia="ru-RU"/>
        </w:rPr>
      </w:pPr>
      <w:r w:rsidRPr="00D92383">
        <w:rPr>
          <w:rFonts w:ascii="Times New Roman" w:eastAsia="Times New Roman" w:hAnsi="Times New Roman" w:cs="Times New Roman"/>
          <w:sz w:val="28"/>
          <w:szCs w:val="28"/>
          <w:lang w:val="uk-UA" w:eastAsia="ru-RU"/>
        </w:rPr>
        <w:t>Повноваження Верховної Ради України, Верховної Ради Автономної Республіки Крим, сільських, селищних, міських рад та рад об’єднаних територіальних громад, що створені згідно із законом та перспективним планом формування територій громад, щодо податків та зборів (ст. 12 Податкового кодексу України).</w:t>
      </w:r>
    </w:p>
    <w:p w:rsidR="00D92383" w:rsidRPr="00D92383" w:rsidRDefault="00D92383" w:rsidP="00D92383">
      <w:pPr>
        <w:tabs>
          <w:tab w:val="left" w:pos="1134"/>
        </w:tabs>
        <w:contextualSpacing/>
        <w:rPr>
          <w:rFonts w:ascii="Times New Roman" w:eastAsia="Times New Roman" w:hAnsi="Times New Roman" w:cs="Times New Roman"/>
          <w:sz w:val="20"/>
          <w:szCs w:val="20"/>
          <w:lang w:val="uk-UA" w:eastAsia="ru-RU"/>
        </w:rPr>
      </w:pPr>
    </w:p>
    <w:p w:rsidR="00D92383" w:rsidRDefault="00D92383" w:rsidP="00D92383">
      <w:pPr>
        <w:numPr>
          <w:ilvl w:val="0"/>
          <w:numId w:val="1"/>
        </w:numPr>
        <w:tabs>
          <w:tab w:val="left" w:pos="1134"/>
        </w:tabs>
        <w:spacing w:after="200" w:line="276" w:lineRule="auto"/>
        <w:contextualSpacing/>
        <w:jc w:val="left"/>
        <w:rPr>
          <w:rFonts w:ascii="Times New Roman" w:eastAsia="Times New Roman" w:hAnsi="Times New Roman" w:cs="Times New Roman"/>
          <w:sz w:val="28"/>
          <w:szCs w:val="28"/>
          <w:lang w:val="uk-UA" w:eastAsia="ru-RU"/>
        </w:rPr>
      </w:pPr>
      <w:r w:rsidRPr="00D92383">
        <w:rPr>
          <w:rFonts w:ascii="Times New Roman" w:eastAsia="Times New Roman" w:hAnsi="Times New Roman" w:cs="Times New Roman"/>
          <w:sz w:val="28"/>
          <w:szCs w:val="28"/>
          <w:lang w:val="uk-UA" w:eastAsia="ru-RU"/>
        </w:rPr>
        <w:t xml:space="preserve">Склад доходів загального фонду бюджетів міст республіканського Автономної Республіки Крим та обласного значення, міст Києва та Севастополя, районних бюджетів, </w:t>
      </w:r>
      <w:proofErr w:type="spellStart"/>
      <w:r w:rsidRPr="00D92383">
        <w:rPr>
          <w:rFonts w:ascii="Times New Roman" w:eastAsia="Times New Roman" w:hAnsi="Times New Roman" w:cs="Times New Roman"/>
          <w:sz w:val="28"/>
          <w:szCs w:val="28"/>
          <w:lang w:val="uk-UA" w:eastAsia="ru-RU"/>
        </w:rPr>
        <w:t>бюджетів</w:t>
      </w:r>
      <w:proofErr w:type="spellEnd"/>
      <w:r w:rsidRPr="00D92383">
        <w:rPr>
          <w:rFonts w:ascii="Times New Roman" w:eastAsia="Times New Roman" w:hAnsi="Times New Roman" w:cs="Times New Roman"/>
          <w:sz w:val="28"/>
          <w:szCs w:val="28"/>
          <w:lang w:val="uk-UA" w:eastAsia="ru-RU"/>
        </w:rPr>
        <w:t xml:space="preserve"> об’єднаних територіальних громад (ст. 64 Бюджетного кодексу України).</w:t>
      </w:r>
    </w:p>
    <w:p w:rsidR="00D92383" w:rsidRPr="00D92383" w:rsidRDefault="00D92383" w:rsidP="00D92383">
      <w:pPr>
        <w:ind w:firstLine="0"/>
        <w:rPr>
          <w:rFonts w:ascii="Times New Roman" w:eastAsia="Times New Roman" w:hAnsi="Times New Roman" w:cs="Times New Roman"/>
          <w:sz w:val="20"/>
          <w:szCs w:val="20"/>
          <w:lang w:val="uk-UA" w:eastAsia="ru-RU"/>
        </w:rPr>
      </w:pPr>
    </w:p>
    <w:p w:rsidR="00D92383" w:rsidRPr="00D92383" w:rsidRDefault="00D92383" w:rsidP="00D92383">
      <w:pPr>
        <w:numPr>
          <w:ilvl w:val="0"/>
          <w:numId w:val="1"/>
        </w:numPr>
        <w:tabs>
          <w:tab w:val="left" w:pos="1134"/>
        </w:tabs>
        <w:spacing w:after="200" w:line="276" w:lineRule="auto"/>
        <w:jc w:val="lef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D92383">
        <w:rPr>
          <w:rFonts w:ascii="Times New Roman" w:eastAsia="Calibri" w:hAnsi="Times New Roman" w:cs="Times New Roman"/>
          <w:sz w:val="28"/>
          <w:szCs w:val="28"/>
          <w:lang w:val="uk-UA"/>
        </w:rPr>
        <w:t>Класифікація доходів бюджету за розділами</w:t>
      </w:r>
      <w:bookmarkStart w:id="0" w:name="n212"/>
      <w:bookmarkEnd w:id="0"/>
      <w:r w:rsidRPr="00D92383">
        <w:rPr>
          <w:rFonts w:ascii="Times New Roman" w:eastAsia="Times New Roman" w:hAnsi="Times New Roman" w:cs="Times New Roman"/>
          <w:sz w:val="28"/>
          <w:szCs w:val="28"/>
          <w:lang w:val="uk-UA" w:eastAsia="uk-UA"/>
        </w:rPr>
        <w:t xml:space="preserve"> (ст. 9 Бюджетного кодексу </w:t>
      </w:r>
      <w:bookmarkStart w:id="1" w:name="_GoBack"/>
      <w:r w:rsidRPr="00D92383">
        <w:rPr>
          <w:rFonts w:ascii="Times New Roman" w:eastAsia="Times New Roman" w:hAnsi="Times New Roman" w:cs="Times New Roman"/>
          <w:sz w:val="28"/>
          <w:szCs w:val="28"/>
          <w:lang w:val="uk-UA" w:eastAsia="uk-UA"/>
        </w:rPr>
        <w:t>України).</w:t>
      </w:r>
    </w:p>
    <w:bookmarkEnd w:id="1"/>
    <w:p w:rsidR="00D92383" w:rsidRPr="00D92383" w:rsidRDefault="00D92383" w:rsidP="00D92383">
      <w:pPr>
        <w:numPr>
          <w:ilvl w:val="0"/>
          <w:numId w:val="1"/>
        </w:numPr>
        <w:tabs>
          <w:tab w:val="left" w:pos="1134"/>
        </w:tabs>
        <w:spacing w:after="200" w:line="276" w:lineRule="auto"/>
        <w:jc w:val="lef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D92383">
        <w:rPr>
          <w:rFonts w:ascii="Times New Roman" w:eastAsia="Calibri" w:hAnsi="Times New Roman" w:cs="Times New Roman"/>
          <w:sz w:val="28"/>
          <w:szCs w:val="28"/>
          <w:lang w:val="uk-UA"/>
        </w:rPr>
        <w:t>Надходження спеціального фонду місцевих бюджеті (ст. 69</w:t>
      </w:r>
      <w:r w:rsidRPr="00D92383">
        <w:rPr>
          <w:rFonts w:ascii="Times New Roman" w:eastAsia="Calibri" w:hAnsi="Times New Roman" w:cs="Times New Roman"/>
          <w:sz w:val="28"/>
          <w:szCs w:val="28"/>
          <w:vertAlign w:val="superscript"/>
          <w:lang w:val="uk-UA"/>
        </w:rPr>
        <w:t xml:space="preserve">1 </w:t>
      </w:r>
      <w:r w:rsidRPr="00D92383">
        <w:rPr>
          <w:rFonts w:ascii="Times New Roman" w:eastAsia="Times New Roman" w:hAnsi="Times New Roman" w:cs="Times New Roman"/>
          <w:sz w:val="28"/>
          <w:szCs w:val="28"/>
          <w:lang w:val="uk-UA" w:eastAsia="uk-UA"/>
        </w:rPr>
        <w:t>Бюджетного кодексу України</w:t>
      </w:r>
      <w:r w:rsidRPr="00D92383">
        <w:rPr>
          <w:rFonts w:ascii="Times New Roman" w:eastAsia="Calibri" w:hAnsi="Times New Roman" w:cs="Times New Roman"/>
          <w:sz w:val="28"/>
          <w:szCs w:val="28"/>
          <w:lang w:val="uk-UA"/>
        </w:rPr>
        <w:t>).</w:t>
      </w:r>
    </w:p>
    <w:p w:rsidR="00D92383" w:rsidRPr="00D92383" w:rsidRDefault="00D92383" w:rsidP="00D92383">
      <w:pPr>
        <w:numPr>
          <w:ilvl w:val="0"/>
          <w:numId w:val="1"/>
        </w:numPr>
        <w:tabs>
          <w:tab w:val="left" w:pos="1134"/>
        </w:tabs>
        <w:spacing w:after="200" w:line="276" w:lineRule="auto"/>
        <w:jc w:val="left"/>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D92383">
        <w:rPr>
          <w:rFonts w:ascii="Times New Roman" w:eastAsia="Times New Roman" w:hAnsi="Times New Roman" w:cs="Times New Roman"/>
          <w:sz w:val="28"/>
          <w:szCs w:val="28"/>
          <w:lang w:val="uk-UA" w:eastAsia="uk-UA"/>
        </w:rPr>
        <w:t>Затвердження місцевих бюджетів (ст. 77 Бюджетного кодексу України).</w:t>
      </w:r>
    </w:p>
    <w:p w:rsidR="00D92383" w:rsidRPr="00D92383" w:rsidRDefault="00D92383" w:rsidP="00D92383">
      <w:pPr>
        <w:numPr>
          <w:ilvl w:val="0"/>
          <w:numId w:val="1"/>
        </w:numPr>
        <w:tabs>
          <w:tab w:val="left" w:pos="1134"/>
        </w:tabs>
        <w:spacing w:after="200" w:line="276" w:lineRule="auto"/>
        <w:jc w:val="left"/>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D92383">
        <w:rPr>
          <w:rFonts w:ascii="Times New Roman" w:eastAsia="Times New Roman" w:hAnsi="Times New Roman" w:cs="Times New Roman"/>
          <w:sz w:val="28"/>
          <w:szCs w:val="28"/>
          <w:lang w:val="uk-UA" w:eastAsia="uk-UA"/>
        </w:rPr>
        <w:t>Орендна плата за земельну ділянку відповідно до Податкового Кодексу України: підстави, платник, об’єкт (ст. 288 Податкового кодексу України).</w:t>
      </w:r>
    </w:p>
    <w:p w:rsidR="00D92383" w:rsidRPr="00D92383" w:rsidRDefault="00D92383" w:rsidP="00D92383">
      <w:pPr>
        <w:tabs>
          <w:tab w:val="left" w:pos="1134"/>
        </w:tabs>
        <w:rPr>
          <w:rFonts w:ascii="Times New Roman" w:eastAsia="Times New Roman" w:hAnsi="Times New Roman" w:cs="Times New Roman"/>
          <w:sz w:val="28"/>
          <w:szCs w:val="28"/>
          <w:lang w:val="uk-UA" w:eastAsia="uk-UA"/>
        </w:rPr>
      </w:pPr>
    </w:p>
    <w:p w:rsidR="00D92383" w:rsidRPr="00D92383" w:rsidRDefault="00D92383" w:rsidP="00D92383">
      <w:pPr>
        <w:shd w:val="clear" w:color="auto" w:fill="FFFFFF"/>
        <w:tabs>
          <w:tab w:val="left" w:pos="1134"/>
        </w:tabs>
        <w:spacing w:after="200" w:line="276" w:lineRule="auto"/>
        <w:jc w:val="left"/>
        <w:rPr>
          <w:rFonts w:ascii="Calibri" w:eastAsia="Times New Roman" w:hAnsi="Calibri" w:cs="Times New Roman"/>
          <w:sz w:val="28"/>
          <w:szCs w:val="28"/>
          <w:lang w:val="uk-UA" w:eastAsia="ru-RU"/>
        </w:rPr>
      </w:pPr>
    </w:p>
    <w:p w:rsidR="006B214A" w:rsidRPr="00D92383" w:rsidRDefault="006B214A">
      <w:pPr>
        <w:rPr>
          <w:lang w:val="uk-UA"/>
        </w:rPr>
      </w:pPr>
    </w:p>
    <w:sectPr w:rsidR="006B214A" w:rsidRPr="00D92383" w:rsidSect="008A79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230A8"/>
    <w:multiLevelType w:val="hybridMultilevel"/>
    <w:tmpl w:val="ABDC924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83"/>
    <w:rsid w:val="006B214A"/>
    <w:rsid w:val="00D92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92383"/>
    <w:pPr>
      <w:ind w:firstLine="0"/>
      <w:jc w:val="left"/>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92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2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92383"/>
    <w:pPr>
      <w:ind w:firstLine="0"/>
      <w:jc w:val="left"/>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92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2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Орленко Таміла</dc:creator>
  <cp:lastModifiedBy>Орленко Таміла</cp:lastModifiedBy>
  <cp:revision>1</cp:revision>
  <dcterms:created xsi:type="dcterms:W3CDTF">2019-03-28T09:22:00Z</dcterms:created>
  <dcterms:modified xsi:type="dcterms:W3CDTF">2019-03-28T09:26:00Z</dcterms:modified>
</cp:coreProperties>
</file>